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282F03">
        <w:rPr>
          <w:rFonts w:ascii="Verdana" w:hAnsi="Verdana"/>
          <w:b/>
        </w:rPr>
        <w:tab/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 </w:t>
      </w:r>
      <w:r w:rsidRPr="00170C40">
        <w:rPr>
          <w:rFonts w:ascii="Arial" w:hAnsi="Arial" w:cs="Arial"/>
          <w:b/>
          <w:sz w:val="24"/>
          <w:szCs w:val="24"/>
        </w:rPr>
        <w:tab/>
      </w:r>
      <w:r w:rsidRPr="00170C40">
        <w:rPr>
          <w:rFonts w:ascii="Arial" w:hAnsi="Arial" w:cs="Arial"/>
          <w:b/>
          <w:sz w:val="24"/>
          <w:szCs w:val="24"/>
        </w:rPr>
        <w:tab/>
      </w:r>
      <w:r w:rsidRPr="00170C40">
        <w:rPr>
          <w:rFonts w:ascii="Arial" w:hAnsi="Arial" w:cs="Arial"/>
          <w:b/>
          <w:sz w:val="24"/>
          <w:szCs w:val="24"/>
        </w:rPr>
        <w:tab/>
        <w:t>Ponte Preta,</w:t>
      </w:r>
      <w:r w:rsidR="00170C40" w:rsidRPr="00170C40">
        <w:rPr>
          <w:rFonts w:ascii="Arial" w:hAnsi="Arial" w:cs="Arial"/>
          <w:b/>
          <w:sz w:val="24"/>
          <w:szCs w:val="24"/>
        </w:rPr>
        <w:t xml:space="preserve"> </w:t>
      </w:r>
      <w:r w:rsidRPr="00170C40">
        <w:rPr>
          <w:rFonts w:ascii="Arial" w:hAnsi="Arial" w:cs="Arial"/>
          <w:b/>
          <w:sz w:val="24"/>
          <w:szCs w:val="24"/>
        </w:rPr>
        <w:t>31 de julho de 2026.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Exmo. </w:t>
      </w:r>
      <w:r w:rsidR="00170C40" w:rsidRPr="00170C40">
        <w:rPr>
          <w:rFonts w:ascii="Arial" w:hAnsi="Arial" w:cs="Arial"/>
          <w:b/>
          <w:sz w:val="24"/>
          <w:szCs w:val="24"/>
        </w:rPr>
        <w:t>Senhor</w:t>
      </w:r>
    </w:p>
    <w:p w:rsidR="00282F03" w:rsidRPr="00170C40" w:rsidRDefault="00170C40" w:rsidP="00282F0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Laércio Bru</w:t>
      </w:r>
      <w:r w:rsidR="00282F03" w:rsidRPr="00170C40">
        <w:rPr>
          <w:rFonts w:ascii="Arial" w:hAnsi="Arial" w:cs="Arial"/>
          <w:b/>
          <w:sz w:val="24"/>
          <w:szCs w:val="24"/>
        </w:rPr>
        <w:t>n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Presidente do Poder Legislativo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Ponte Preta – RS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Objeto: Parecer Jurídico sobre o Projeto de Lei nº 028/2026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Autoria: Poder Executivo Municipal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Ementa:</w:t>
      </w:r>
      <w:r w:rsidR="00170C40" w:rsidRPr="00170C40">
        <w:rPr>
          <w:rFonts w:ascii="Arial" w:hAnsi="Arial" w:cs="Arial"/>
          <w:b/>
          <w:sz w:val="24"/>
          <w:szCs w:val="24"/>
        </w:rPr>
        <w:t xml:space="preserve"> </w:t>
      </w:r>
      <w:r w:rsidR="00E1268B" w:rsidRPr="00170C40">
        <w:rPr>
          <w:rFonts w:ascii="Arial" w:hAnsi="Arial" w:cs="Arial"/>
          <w:b/>
          <w:sz w:val="24"/>
          <w:szCs w:val="24"/>
        </w:rPr>
        <w:t>Cria cargo em comissão e dá outras providências.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I – Relatório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Vem à apreciação desta Assessoria Jurídica o Projeto de Lei nº 028/2026, de iniciativa do Poder Executivo Municipal, que objetiva criar dois cargos em comissão ou funções gratificadas de Chefe de Setor, padrão 01-A, no quadro de cargos em comissão e funções gratificadas previsto no art. 8º da Lei Municipal nº 2.459/2024.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Conforme justificativa encaminhada pelo Poder Executivo, os cargos possuem atribuições e requisitos de </w:t>
      </w:r>
      <w:r w:rsidR="00170C40" w:rsidRPr="00170C40">
        <w:rPr>
          <w:rFonts w:ascii="Arial" w:hAnsi="Arial" w:cs="Arial"/>
          <w:sz w:val="24"/>
          <w:szCs w:val="24"/>
        </w:rPr>
        <w:t>provimento já previsto na Lei Municipal</w:t>
      </w:r>
      <w:r w:rsidRPr="00170C40">
        <w:rPr>
          <w:rFonts w:ascii="Arial" w:hAnsi="Arial" w:cs="Arial"/>
          <w:sz w:val="24"/>
          <w:szCs w:val="24"/>
        </w:rPr>
        <w:t xml:space="preserve"> nº 2.459/2024, destinando-se ao atendimento das crescentes demandas administrativas, ao acompanhamento e à coordenação das ações e atividades desenvolvidas pelos diferentes setores da Administração Municipal.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O Projeto dispõe, ainda, que as despesas decorrentes da futura lei correrão por conta de dotações orçamentárias próprias e estabelece sua entrada em vigor na data de sua publicação.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É o relatório. 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II – DO PARECER JURÍDICO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Inicialmente, cabe registrar que o presente parecer possui natureza exclusivamente técnico-jurídica, não se confundindo com a análise de conveniência, oportunidade ou interesse público da proposição, matérias reservadas ao juízo político dos membros do Poder Legislativo.</w:t>
      </w:r>
    </w:p>
    <w:p w:rsidR="00AF77B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A presente manifestação limita-se à análise da constitucionalidade, legalidade, iniciativa e técnica legislativa do projeto. </w:t>
      </w:r>
      <w:r w:rsidR="00AF77B3" w:rsidRPr="00170C40">
        <w:rPr>
          <w:rFonts w:ascii="Arial" w:hAnsi="Arial" w:cs="Arial"/>
          <w:sz w:val="24"/>
          <w:szCs w:val="24"/>
        </w:rPr>
        <w:t xml:space="preserve"> </w:t>
      </w:r>
      <w:r w:rsidRPr="00170C40">
        <w:rPr>
          <w:rFonts w:ascii="Arial" w:hAnsi="Arial" w:cs="Arial"/>
          <w:sz w:val="24"/>
          <w:szCs w:val="24"/>
        </w:rPr>
        <w:t xml:space="preserve"> </w:t>
      </w:r>
    </w:p>
    <w:p w:rsidR="00AF77B3" w:rsidRPr="00170C40" w:rsidRDefault="00282F03" w:rsidP="00AF77B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:rsidR="00AF77B3" w:rsidRPr="00170C40" w:rsidRDefault="00282F03" w:rsidP="00AF77B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 </w:t>
      </w:r>
    </w:p>
    <w:p w:rsidR="00AF77B3" w:rsidRPr="00170C40" w:rsidRDefault="00AF77B3" w:rsidP="00AF77B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III – FUNDAMENTAÇÃO JURÍDICA</w:t>
      </w:r>
    </w:p>
    <w:p w:rsidR="00282F03" w:rsidRPr="00170C40" w:rsidRDefault="00282F03" w:rsidP="00AF77B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1. Da competência e da iniciativa</w:t>
      </w:r>
    </w:p>
    <w:p w:rsidR="00AF77B3" w:rsidRPr="00170C40" w:rsidRDefault="00282F03" w:rsidP="00AF77B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 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matéria tratada no Projeto de Lei insere-se no âmbito da organização e estruturação da Administração Pública Municipal, envolvendo a criação de cargos em comissão e funções gratificadas no quadro de pessoal do Município.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A iniciativa do Poder Executivo mostra-se adequada, uma vez que </w:t>
      </w:r>
      <w:r w:rsidR="00170C40" w:rsidRPr="00170C40">
        <w:rPr>
          <w:rFonts w:ascii="Arial" w:hAnsi="Arial" w:cs="Arial"/>
          <w:sz w:val="24"/>
          <w:szCs w:val="24"/>
        </w:rPr>
        <w:t>competem</w:t>
      </w:r>
      <w:r w:rsidRPr="00170C40">
        <w:rPr>
          <w:rFonts w:ascii="Arial" w:hAnsi="Arial" w:cs="Arial"/>
          <w:sz w:val="24"/>
          <w:szCs w:val="24"/>
        </w:rPr>
        <w:t xml:space="preserve"> ao Chefe do Poder Executivo propor </w:t>
      </w:r>
      <w:r w:rsidR="00170C40" w:rsidRPr="00170C40">
        <w:rPr>
          <w:rFonts w:ascii="Arial" w:hAnsi="Arial" w:cs="Arial"/>
          <w:sz w:val="24"/>
          <w:szCs w:val="24"/>
        </w:rPr>
        <w:t>às alterações legislativas relacionadas à organização administrativa e ao quadro de pessoal do Município, observadas as disposições</w:t>
      </w:r>
      <w:r w:rsidRPr="00170C40">
        <w:rPr>
          <w:rFonts w:ascii="Arial" w:hAnsi="Arial" w:cs="Arial"/>
          <w:sz w:val="24"/>
          <w:szCs w:val="24"/>
        </w:rPr>
        <w:t xml:space="preserve"> da Lei Orgânica Municipal.</w:t>
      </w:r>
    </w:p>
    <w:p w:rsidR="00AF77B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Não se vislumbra, portanto, vício formal de iniciativa, desde que observadas </w:t>
      </w:r>
      <w:r w:rsidR="00170C40" w:rsidRPr="00170C40">
        <w:rPr>
          <w:rFonts w:ascii="Arial" w:hAnsi="Arial" w:cs="Arial"/>
          <w:sz w:val="24"/>
          <w:szCs w:val="24"/>
        </w:rPr>
        <w:t>às</w:t>
      </w:r>
      <w:r w:rsidRPr="00170C40">
        <w:rPr>
          <w:rFonts w:ascii="Arial" w:hAnsi="Arial" w:cs="Arial"/>
          <w:sz w:val="24"/>
          <w:szCs w:val="24"/>
        </w:rPr>
        <w:t xml:space="preserve"> normas da Lei Orgânica do Município de Ponte Preta.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2. Da criação de cargos em comissão e funções de confiança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ab/>
      </w:r>
      <w:r w:rsidRPr="00170C40">
        <w:rPr>
          <w:rFonts w:ascii="Arial" w:hAnsi="Arial" w:cs="Arial"/>
          <w:b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>A Constituição Federal estabelece, em seu art. 37, inciso V, que as funções de confiança são exercidas exclusivamente por servidores ocupantes de cargo efetivo e que os cargos em comissão se destinam exclusivamente às atribuições de direção, chefia e assessoramento.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jurisprudência do Supremo Tribunal Federal consolidou entendimento no sentido de que a criação de cargos em comissão deve observar requisitos materiais, dentre os quais a destinação efetiva às atribuições de direção, chefia ou assessoramento, a existência de relação de confiança, a proporcionalidade entre o número de cargos criados e a necessidade administrativa e a descrição clara e objetiva das respectivas atribuições na legislação instituidora.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No caso em análise, o Projeto pretende criar dois cargos/funções de Chefe de Setor, o que, em princípio, encontra correspondência com a hipótese constitucional de atribuição de chefia.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Além disso, conforme expressamente informado na justificativa do Projeto, as atribuições e requisitos de provimento dos cargos são aqueles já estabelecidos pela Lei Municipal nº 2.459/2024.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Assim, desde que as atribuições previstas na Lei Municipal nº 2.459/2024 sejam efetivamente de chefia, coordenação ou direção, e não consistam em atividades meramente burocráticas, técnicas, operacionais ou </w:t>
      </w:r>
      <w:r w:rsidRPr="00170C40">
        <w:rPr>
          <w:rFonts w:ascii="Arial" w:hAnsi="Arial" w:cs="Arial"/>
          <w:sz w:val="24"/>
          <w:szCs w:val="24"/>
        </w:rPr>
        <w:lastRenderedPageBreak/>
        <w:t>administrativas ordinárias, não se identifica, sob esse aspecto, incompatibilidade com o art. 37, V, da Constituição Federal.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3. Da necessidade de observância da legislação fiscal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criação de novos cargos em comissão ou funções gratificadas possui potencial para produzir aumento da despesa pública com pessoal.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A Lei Complementar nº 101/2000 – Lei de Responsabilidade Fiscal – estabelece, em seu art. 16, que a criação, expansão ou aperfeiçoamento de ação governamental que acarrete aumento de despesa deve ser </w:t>
      </w:r>
      <w:r w:rsidR="00170C40" w:rsidRPr="00170C40">
        <w:rPr>
          <w:rFonts w:ascii="Arial" w:hAnsi="Arial" w:cs="Arial"/>
          <w:sz w:val="24"/>
          <w:szCs w:val="24"/>
        </w:rPr>
        <w:t>acompanhado da estimativa do impacto orçamentário-financeiro</w:t>
      </w:r>
      <w:r w:rsidRPr="00170C40">
        <w:rPr>
          <w:rFonts w:ascii="Arial" w:hAnsi="Arial" w:cs="Arial"/>
          <w:sz w:val="24"/>
          <w:szCs w:val="24"/>
        </w:rPr>
        <w:t xml:space="preserve"> no exercício em que deva entrar em vigor e nos dois subsequentes, bem como de declaração do ordenador da despesa quanto à adequação orçamentária e financeira com a Lei Orçamentária Anual e à compatibilidade com o Plano Plurianual e a Lei de Diretrizes Orçamentárias.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Da mesma forma, a despesa decorrente do provimento dos cargos deverá ser considerada para fins de apuração da despesa total com pessoal, conforme o art. 18 da LRF, devendo ser observados os limites estabelecidos nos arts. 19 e 20 da mesma Lei Complementar.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O art. 22 da LRF também estabelece restrições à criação de cargo, emprego ou função quando a despesa total com pessoal houver excedido 95% do limite estabelecido.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Por sua vez, o art. 169, § 1º, da Constituição Federal exige, para a criação de cargos e alteração da estrutura de pessoal que implique aumento de despesa, a observância das condições orçamentárias e financeiras constitucionalmente estabelecidas.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Nesse ponto, verifica-se que o art. 2º do Projeto limita-se a estabelecer genericamente que as despesas correrão por conta de dotações orçamentárias próprias.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Tal disposição, por si só, não substitui a documentação fiscal necessária à demonstração da adequação da despesa.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Assim, recomenda-se que, antes da aprovação definitiva do Projeto, constem do processo legislativo, conforme o caso: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a) estimativa do impacto orçamentário-financeiro para o exercício de entrada em vigor da</w:t>
      </w:r>
      <w:r w:rsidR="00170C40" w:rsidRPr="00170C40">
        <w:rPr>
          <w:rFonts w:ascii="Arial" w:hAnsi="Arial" w:cs="Arial"/>
          <w:sz w:val="24"/>
          <w:szCs w:val="24"/>
        </w:rPr>
        <w:t xml:space="preserve"> </w:t>
      </w:r>
      <w:r w:rsidR="009B535F" w:rsidRPr="00170C40">
        <w:rPr>
          <w:rFonts w:ascii="Arial" w:hAnsi="Arial" w:cs="Arial"/>
          <w:sz w:val="24"/>
          <w:szCs w:val="24"/>
        </w:rPr>
        <w:t>Lei</w:t>
      </w:r>
      <w:r w:rsidRPr="00170C40">
        <w:rPr>
          <w:rFonts w:ascii="Arial" w:hAnsi="Arial" w:cs="Arial"/>
          <w:sz w:val="24"/>
          <w:szCs w:val="24"/>
        </w:rPr>
        <w:t>;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lastRenderedPageBreak/>
        <w:tab/>
      </w:r>
      <w:r w:rsidRPr="00170C40">
        <w:rPr>
          <w:rFonts w:ascii="Arial" w:hAnsi="Arial" w:cs="Arial"/>
          <w:sz w:val="24"/>
          <w:szCs w:val="24"/>
        </w:rPr>
        <w:tab/>
        <w:t xml:space="preserve">b) demonstração de que a criação dos cargos não implicará violação dos limites de despesa com </w:t>
      </w:r>
      <w:r w:rsidR="00170C40" w:rsidRPr="00170C40">
        <w:rPr>
          <w:rFonts w:ascii="Arial" w:hAnsi="Arial" w:cs="Arial"/>
          <w:sz w:val="24"/>
          <w:szCs w:val="24"/>
        </w:rPr>
        <w:t>pessoal previsto na Lei de Responsabilidade Fiscal</w:t>
      </w:r>
      <w:r w:rsidRPr="00170C40">
        <w:rPr>
          <w:rFonts w:ascii="Arial" w:hAnsi="Arial" w:cs="Arial"/>
          <w:sz w:val="24"/>
          <w:szCs w:val="24"/>
        </w:rPr>
        <w:t>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ausência desses elementos, caso efetivamente haja aumento de despesa decorrente da criação e provimento dos cargos/funções, deverá ser sanada antes da implementação da medida.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4. Da proporcionalidade e necessidade administrativa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 xml:space="preserve">  </w:t>
      </w: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justificativa apresentada pelo Poder Executivo informa que a criação dos cargos decorre do aumento das demandas administrativas, das responsabilidades atribuídas ao Município e da necessidade de coordenação dos setores para a adequada execução das políticas públicas.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A criação de cargos em comissão, entretanto, deve guardar relação de proporcionalidade com a necessidade administrativa que se pretende atender.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No caso concreto, estão sendo criados apenas dois cargos de Chefe de Setor, e a justificativa apresenta fundamentação relacionada à necessidade de reforço da estrutura administrativa.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>Sob o aspecto jurídico-formal, portanto, não se identifica impedimento à criação dos cargos, sem prejuízo de que a Administração demonstre, na esfera administrativa e orçamentária, a efetiva necessidade e disponibilidade financeira para seu provimento.</w:t>
      </w: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</w:p>
    <w:p w:rsidR="00282F03" w:rsidRPr="00170C40" w:rsidRDefault="00282F03" w:rsidP="00282F03">
      <w:pPr>
        <w:jc w:val="both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>IV – CONCLUSÃO</w:t>
      </w:r>
    </w:p>
    <w:p w:rsidR="00282F0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</w:p>
    <w:p w:rsidR="00AF77B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sz w:val="24"/>
          <w:szCs w:val="24"/>
        </w:rPr>
        <w:tab/>
      </w:r>
      <w:r w:rsidRPr="00170C40">
        <w:rPr>
          <w:rFonts w:ascii="Arial" w:hAnsi="Arial" w:cs="Arial"/>
          <w:sz w:val="24"/>
          <w:szCs w:val="24"/>
        </w:rPr>
        <w:tab/>
        <w:t xml:space="preserve">Diante do exposto, OPINAMOS pela viabilidade jurídica do Projeto de Lei nº 028/2026, que objetiva criar dois cargos em comissão ou funções gratificadas de Chefe de Setor, padrão 01-A, desde que observadas </w:t>
      </w:r>
      <w:r w:rsidR="00170C40" w:rsidRPr="00170C40">
        <w:rPr>
          <w:rFonts w:ascii="Arial" w:hAnsi="Arial" w:cs="Arial"/>
          <w:sz w:val="24"/>
          <w:szCs w:val="24"/>
        </w:rPr>
        <w:t>às</w:t>
      </w:r>
      <w:r w:rsidRPr="00170C40">
        <w:rPr>
          <w:rFonts w:ascii="Arial" w:hAnsi="Arial" w:cs="Arial"/>
          <w:sz w:val="24"/>
          <w:szCs w:val="24"/>
        </w:rPr>
        <w:t xml:space="preserve"> ressalvas acima consignadas, especialmente quanto ao cumprimento das exigências orçamentárias e fiscais.</w:t>
      </w:r>
    </w:p>
    <w:p w:rsidR="00AF77B3" w:rsidRPr="00170C40" w:rsidRDefault="00282F03" w:rsidP="00282F03">
      <w:pPr>
        <w:jc w:val="both"/>
        <w:rPr>
          <w:rFonts w:ascii="Arial" w:hAnsi="Arial" w:cs="Arial"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 </w:t>
      </w:r>
      <w:r w:rsidRPr="00170C40">
        <w:rPr>
          <w:rFonts w:ascii="Arial" w:hAnsi="Arial" w:cs="Arial"/>
          <w:sz w:val="24"/>
          <w:szCs w:val="24"/>
        </w:rPr>
        <w:t xml:space="preserve"> </w:t>
      </w:r>
    </w:p>
    <w:p w:rsidR="00AF77B3" w:rsidRPr="00170C40" w:rsidRDefault="00AF77B3" w:rsidP="00AF77B3">
      <w:pPr>
        <w:jc w:val="center"/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Mocellin, Bernardi &amp; Advogados </w:t>
      </w:r>
      <w:r w:rsidR="00170C40" w:rsidRPr="00170C40">
        <w:rPr>
          <w:rFonts w:ascii="Arial" w:hAnsi="Arial" w:cs="Arial"/>
          <w:b/>
          <w:sz w:val="24"/>
          <w:szCs w:val="24"/>
        </w:rPr>
        <w:t>Associados.</w:t>
      </w:r>
    </w:p>
    <w:p w:rsidR="00F01D61" w:rsidRPr="00170C40" w:rsidRDefault="00AF77B3" w:rsidP="00AF77B3">
      <w:pPr>
        <w:rPr>
          <w:rFonts w:ascii="Arial" w:hAnsi="Arial" w:cs="Arial"/>
          <w:b/>
          <w:sz w:val="24"/>
          <w:szCs w:val="24"/>
        </w:rPr>
      </w:pPr>
      <w:r w:rsidRPr="00170C40">
        <w:rPr>
          <w:rFonts w:ascii="Arial" w:hAnsi="Arial" w:cs="Arial"/>
          <w:b/>
          <w:sz w:val="24"/>
          <w:szCs w:val="24"/>
        </w:rPr>
        <w:t xml:space="preserve">                                    OAB/RS 4.293</w:t>
      </w:r>
    </w:p>
    <w:sectPr w:rsidR="00F01D61" w:rsidRPr="00170C40" w:rsidSect="00170C40">
      <w:pgSz w:w="11906" w:h="16838"/>
      <w:pgMar w:top="2410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B3"/>
    <w:rsid w:val="000C3AE9"/>
    <w:rsid w:val="00147AAE"/>
    <w:rsid w:val="00170C40"/>
    <w:rsid w:val="001C0A27"/>
    <w:rsid w:val="00282F03"/>
    <w:rsid w:val="003170FD"/>
    <w:rsid w:val="004B24BA"/>
    <w:rsid w:val="006D695D"/>
    <w:rsid w:val="00914F94"/>
    <w:rsid w:val="00946BA5"/>
    <w:rsid w:val="009B535F"/>
    <w:rsid w:val="009D141D"/>
    <w:rsid w:val="00AA09B3"/>
    <w:rsid w:val="00AF77B3"/>
    <w:rsid w:val="00B87686"/>
    <w:rsid w:val="00CD646F"/>
    <w:rsid w:val="00CE5E4B"/>
    <w:rsid w:val="00D37127"/>
    <w:rsid w:val="00E1268B"/>
    <w:rsid w:val="00F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82F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7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82F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7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2</cp:revision>
  <cp:lastPrinted>2026-08-03T10:52:00Z</cp:lastPrinted>
  <dcterms:created xsi:type="dcterms:W3CDTF">2026-08-03T10:53:00Z</dcterms:created>
  <dcterms:modified xsi:type="dcterms:W3CDTF">2026-08-03T10:53:00Z</dcterms:modified>
</cp:coreProperties>
</file>